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b/>
          <w:bCs/>
          <w:color w:val="1A1A1A"/>
          <w:sz w:val="40"/>
          <w:szCs w:val="40"/>
        </w:rPr>
        <w:t xml:space="preserve">Von Braun Consulting</w:t>
      </w:r>
    </w:p>
    <w:p>
      <w:pPr>
        <w:spacing w:after="20"/>
      </w:pPr>
      <w:r>
        <w:rPr>
          <w:b/>
          <w:bCs/>
          <w:color w:val="B8860B"/>
          <w:sz w:val="24"/>
          <w:szCs w:val="24"/>
        </w:rPr>
        <w:t xml:space="preserve">Capability Statement</w:t>
      </w:r>
    </w:p>
    <w:p>
      <w:pPr>
        <w:spacing w:after="40"/>
      </w:pPr>
      <w:r>
        <w:rPr>
          <w:i/>
          <w:iCs/>
          <w:color w:val="5A5A5A"/>
          <w:sz w:val="18"/>
          <w:szCs w:val="18"/>
        </w:rPr>
        <w:t xml:space="preserve">Operational Efficiency &amp; Compliance Consulting for Government Contractors  |  Huntsville, AL &amp; Atlanta, GA</w:t>
      </w:r>
    </w:p>
    <w:p>
      <w:pPr>
        <w:spacing w:after="100"/>
      </w:pPr>
      <w:r>
        <w:rPr>
          <w:b/>
          <w:bCs/>
          <w:i/>
          <w:iCs/>
          <w:color w:val="B8860B"/>
          <w:sz w:val="18"/>
          <w:szCs w:val="18"/>
        </w:rPr>
        <w:t xml:space="preserve">Operational efficiency and compliance solutions for government contractors.</w:t>
      </w:r>
    </w:p>
    <w:p>
      <w:pPr>
        <w:pStyle w:val="Heading2"/>
        <w:pBdr>
          <w:bottom w:val="single" w:color="D9A521" w:sz="6" w:space="4"/>
        </w:pBdr>
        <w:spacing w:after="40" w:before="100"/>
      </w:pPr>
      <w:r>
        <w:rPr>
          <w:b/>
          <w:bCs/>
          <w:color w:val="B8860B"/>
        </w:rPr>
        <w:t xml:space="preserve">Company Overview</w:t>
      </w:r>
    </w:p>
    <w:p>
      <w:pPr>
        <w:spacing w:after="60"/>
      </w:pPr>
      <w:r>
        <w:rPr>
          <w:color w:val="1A1A1A"/>
          <w:sz w:val="18"/>
          <w:szCs w:val="18"/>
        </w:rPr>
        <w:t xml:space="preserve">Von Braun Consulting helps defense contractors and aerospace suppliers in the Redstone Arsenal / Huntsville corridor and the Atlanta metro build leaner program operations, tighter contract compliance, and faster proposal-to-close-out cycles. We work directly with owners and program leadership to find where time, cost, and compliance risk are being wasted across the contract lifecycle, then design and implement the processes, automations, and team structures needed to execute cleanly and pass audits without drama. Every engagement is grounded in a documented audit, a written roadmap, and hands-on implementation support.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left w:val="none"/>
              <w:bottom w:val="none"/>
              <w:right w:val="none"/>
            </w:tcBorders>
            <w:vAlign w:val="center"/>
          </w:tcPr>
          <w:p>
            <w:pPr>
              <w:spacing w:after="10"/>
              <w:jc w:val="center"/>
            </w:pPr>
            <w:r>
              <w:rPr>
                <w:b/>
                <w:bCs/>
                <w:color w:val="B8860B"/>
                <w:sz w:val="32"/>
                <w:szCs w:val="32"/>
              </w:rPr>
              <w:t xml:space="preserve">15+</w:t>
            </w:r>
          </w:p>
          <w:p>
            <w:pPr>
              <w:jc w:val="center"/>
            </w:pPr>
            <w:r>
              <w:rPr>
                <w:color w:val="5A5A5A"/>
                <w:sz w:val="16"/>
                <w:szCs w:val="16"/>
              </w:rPr>
              <w:t xml:space="preserve">Career Roles Across Industries</w:t>
            </w:r>
          </w:p>
        </w:tc>
        <w:tc>
          <w:tcPr>
            <w:tcW w:type="dxa" w:w="3120"/>
            <w:tcBorders>
              <w:top w:val="none"/>
              <w:left w:val="none"/>
              <w:bottom w:val="none"/>
              <w:right w:val="none"/>
            </w:tcBorders>
            <w:vAlign w:val="center"/>
          </w:tcPr>
          <w:p>
            <w:pPr>
              <w:spacing w:after="10"/>
              <w:jc w:val="center"/>
            </w:pPr>
            <w:r>
              <w:rPr>
                <w:b/>
                <w:bCs/>
                <w:color w:val="B8860B"/>
                <w:sz w:val="32"/>
                <w:szCs w:val="32"/>
              </w:rPr>
              <w:t xml:space="preserve">200+</w:t>
            </w:r>
          </w:p>
          <w:p>
            <w:pPr>
              <w:jc w:val="center"/>
            </w:pPr>
            <w:r>
              <w:rPr>
                <w:color w:val="5A5A5A"/>
                <w:sz w:val="16"/>
                <w:szCs w:val="16"/>
              </w:rPr>
              <w:t xml:space="preserve">Systems &amp; Processes Built</w:t>
            </w:r>
          </w:p>
        </w:tc>
        <w:tc>
          <w:tcPr>
            <w:tcW w:type="dxa" w:w="3120"/>
            <w:tcBorders>
              <w:top w:val="none"/>
              <w:left w:val="none"/>
              <w:bottom w:val="none"/>
              <w:right w:val="none"/>
            </w:tcBorders>
            <w:vAlign w:val="center"/>
          </w:tcPr>
          <w:p>
            <w:pPr>
              <w:spacing w:after="10"/>
              <w:jc w:val="center"/>
            </w:pPr>
            <w:r>
              <w:rPr>
                <w:b/>
                <w:bCs/>
                <w:color w:val="B8860B"/>
                <w:sz w:val="32"/>
                <w:szCs w:val="32"/>
              </w:rPr>
              <w:t xml:space="preserve">200+</w:t>
            </w:r>
          </w:p>
          <w:p>
            <w:pPr>
              <w:jc w:val="center"/>
            </w:pPr>
            <w:r>
              <w:rPr>
                <w:color w:val="5A5A5A"/>
                <w:sz w:val="16"/>
                <w:szCs w:val="16"/>
              </w:rPr>
              <w:t xml:space="preserve">Systems and Processes Developed</w:t>
            </w:r>
          </w:p>
        </w:tc>
      </w:tr>
    </w:tbl>
    <w:p>
      <w:pPr>
        <w:pStyle w:val="Heading2"/>
        <w:pBdr>
          <w:bottom w:val="single" w:color="D9A521" w:sz="6" w:space="4"/>
        </w:pBdr>
        <w:spacing w:after="40" w:before="100"/>
      </w:pPr>
      <w:r>
        <w:rPr>
          <w:b/>
          <w:bCs/>
          <w:color w:val="B8860B"/>
        </w:rPr>
        <w:t xml:space="preserve">Core Competencies</w:t>
      </w:r>
    </w:p>
    <w:p>
      <w:pPr>
        <w:pStyle w:val="ListParagraph"/>
        <w:numPr>
          <w:ilvl w:val="0"/>
          <w:numId w:val="2"/>
        </w:numPr>
        <w:spacing w:after="20" w:line="240"/>
      </w:pPr>
      <w:r>
        <w:rPr>
          <w:b/>
          <w:bCs/>
          <w:color w:val="1A1A1A"/>
          <w:sz w:val="17"/>
          <w:szCs w:val="17"/>
        </w:rPr>
        <w:t xml:space="preserve">Program &amp; Contract Efficiency Audit — </w:t>
      </w:r>
      <w:r>
        <w:rPr>
          <w:color w:val="1A1A1A"/>
          <w:sz w:val="17"/>
          <w:szCs w:val="17"/>
        </w:rPr>
        <w:t xml:space="preserve">End-to-end workflow mapping from proposal through invoice and close-out, producing a prioritized, written list of compliance gaps and waste.</w:t>
      </w:r>
    </w:p>
    <w:p>
      <w:pPr>
        <w:pStyle w:val="ListParagraph"/>
        <w:numPr>
          <w:ilvl w:val="0"/>
          <w:numId w:val="2"/>
        </w:numPr>
        <w:spacing w:after="20" w:line="240"/>
      </w:pPr>
      <w:r>
        <w:rPr>
          <w:b/>
          <w:bCs/>
          <w:color w:val="1A1A1A"/>
          <w:sz w:val="17"/>
          <w:szCs w:val="17"/>
        </w:rPr>
        <w:t xml:space="preserve">Audit-Ready System &amp; Process Design — </w:t>
      </w:r>
      <w:r>
        <w:rPr>
          <w:color w:val="1A1A1A"/>
          <w:sz w:val="17"/>
          <w:szCs w:val="17"/>
        </w:rPr>
        <w:t xml:space="preserve">SOPs, checklists, and automation triggers for timekeeping, cost accounting, and deliverable tracking built to hold up under DCAA/DCMA scrutiny.</w:t>
      </w:r>
    </w:p>
    <w:p>
      <w:pPr>
        <w:pStyle w:val="ListParagraph"/>
        <w:numPr>
          <w:ilvl w:val="0"/>
          <w:numId w:val="2"/>
        </w:numPr>
        <w:spacing w:after="20" w:line="240"/>
      </w:pPr>
      <w:r>
        <w:rPr>
          <w:b/>
          <w:bCs/>
          <w:color w:val="1A1A1A"/>
          <w:sz w:val="17"/>
          <w:szCs w:val="17"/>
        </w:rPr>
        <w:t xml:space="preserve">Workflow Automation — </w:t>
      </w:r>
      <w:r>
        <w:rPr>
          <w:color w:val="1A1A1A"/>
          <w:sz w:val="17"/>
          <w:szCs w:val="17"/>
        </w:rPr>
        <w:t xml:space="preserve">CRM/ERP rules, subcontractor and teaming management, and invoicing flows built to remove manual tasks and reduce audit risk.</w:t>
      </w:r>
    </w:p>
    <w:p>
      <w:pPr>
        <w:pStyle w:val="ListParagraph"/>
        <w:numPr>
          <w:ilvl w:val="0"/>
          <w:numId w:val="2"/>
        </w:numPr>
        <w:spacing w:after="20" w:line="240"/>
      </w:pPr>
      <w:r>
        <w:rPr>
          <w:b/>
          <w:bCs/>
          <w:color w:val="1A1A1A"/>
          <w:sz w:val="17"/>
          <w:szCs w:val="17"/>
        </w:rPr>
        <w:t xml:space="preserve">Cash Flow Acceleration — </w:t>
      </w:r>
      <w:r>
        <w:rPr>
          <w:color w:val="1A1A1A"/>
          <w:sz w:val="17"/>
          <w:szCs w:val="17"/>
        </w:rPr>
        <w:t xml:space="preserve">Billing, progress payments, and collections redesigned around contract type (FFP, CPFF, T&amp;M) to shorten the cash conversion cycle.</w:t>
      </w:r>
    </w:p>
    <w:p>
      <w:pPr>
        <w:pStyle w:val="ListParagraph"/>
        <w:numPr>
          <w:ilvl w:val="0"/>
          <w:numId w:val="2"/>
        </w:numPr>
        <w:spacing w:after="20" w:line="240"/>
      </w:pPr>
      <w:r>
        <w:rPr>
          <w:b/>
          <w:bCs/>
          <w:color w:val="1A1A1A"/>
          <w:sz w:val="17"/>
          <w:szCs w:val="17"/>
        </w:rPr>
        <w:t xml:space="preserve">Program &amp; Team Efficiency — </w:t>
      </w:r>
      <w:r>
        <w:rPr>
          <w:color w:val="1A1A1A"/>
          <w:sz w:val="17"/>
          <w:szCs w:val="17"/>
        </w:rPr>
        <w:t xml:space="preserve">Restructured roles and handoffs between program management, contracts, and finance so more of the right work gets done in less time.</w:t>
      </w:r>
    </w:p>
    <w:p>
      <w:pPr>
        <w:pStyle w:val="ListParagraph"/>
        <w:numPr>
          <w:ilvl w:val="0"/>
          <w:numId w:val="2"/>
        </w:numPr>
        <w:spacing w:after="20" w:line="240"/>
      </w:pPr>
      <w:r>
        <w:rPr>
          <w:b/>
          <w:bCs/>
          <w:color w:val="1A1A1A"/>
          <w:sz w:val="17"/>
          <w:szCs w:val="17"/>
        </w:rPr>
        <w:t xml:space="preserve">Owner/PM Liberation — </w:t>
      </w:r>
      <w:r>
        <w:rPr>
          <w:color w:val="1A1A1A"/>
          <w:sz w:val="17"/>
          <w:szCs w:val="17"/>
        </w:rPr>
        <w:t xml:space="preserve">Ongoing advisory sessions and a delegation roadmap that move founders and program managers out of daily compliance weeds and into growth and capture.</w:t>
      </w:r>
    </w:p>
    <w:p>
      <w:pPr>
        <w:pStyle w:val="Heading2"/>
        <w:pBdr>
          <w:bottom w:val="single" w:color="D9A521" w:sz="6" w:space="4"/>
        </w:pBdr>
        <w:spacing w:after="40" w:before="100"/>
      </w:pPr>
      <w:r>
        <w:rPr>
          <w:b/>
          <w:bCs/>
          <w:color w:val="B8860B"/>
        </w:rPr>
        <w:t xml:space="preserve">Engagement Process</w:t>
      </w:r>
    </w:p>
    <w:p>
      <w:pPr>
        <w:pStyle w:val="ListParagraph"/>
        <w:numPr>
          <w:ilvl w:val="0"/>
          <w:numId w:val="2"/>
        </w:numPr>
        <w:spacing w:after="20" w:line="240"/>
      </w:pPr>
      <w:r>
        <w:rPr>
          <w:b/>
          <w:bCs/>
          <w:color w:val="1A1A1A"/>
          <w:sz w:val="17"/>
          <w:szCs w:val="17"/>
        </w:rPr>
        <w:t xml:space="preserve">1. Free Discovery Call — </w:t>
      </w:r>
      <w:r>
        <w:rPr>
          <w:color w:val="1A1A1A"/>
          <w:sz w:val="17"/>
          <w:szCs w:val="17"/>
        </w:rPr>
        <w:t xml:space="preserve">A no-pressure 30-minute conversation to identify where the business is leaking time, money, and compliance risk.</w:t>
      </w:r>
    </w:p>
    <w:p>
      <w:pPr>
        <w:pStyle w:val="ListParagraph"/>
        <w:numPr>
          <w:ilvl w:val="0"/>
          <w:numId w:val="2"/>
        </w:numPr>
        <w:spacing w:after="20" w:line="240"/>
      </w:pPr>
      <w:r>
        <w:rPr>
          <w:b/>
          <w:bCs/>
          <w:color w:val="1A1A1A"/>
          <w:sz w:val="17"/>
          <w:szCs w:val="17"/>
        </w:rPr>
        <w:t xml:space="preserve">2. Efficiency Audit — </w:t>
      </w:r>
      <w:r>
        <w:rPr>
          <w:color w:val="1A1A1A"/>
          <w:sz w:val="17"/>
          <w:szCs w:val="17"/>
        </w:rPr>
        <w:t xml:space="preserve">Full contract-lifecycle workflow mapping resulting in a written waste and risk report with the top 10 fixes ranked by impact and effort.</w:t>
      </w:r>
    </w:p>
    <w:p>
      <w:pPr>
        <w:pStyle w:val="ListParagraph"/>
        <w:numPr>
          <w:ilvl w:val="0"/>
          <w:numId w:val="2"/>
        </w:numPr>
        <w:spacing w:after="20" w:line="240"/>
      </w:pPr>
      <w:r>
        <w:rPr>
          <w:b/>
          <w:bCs/>
          <w:color w:val="1A1A1A"/>
          <w:sz w:val="17"/>
          <w:szCs w:val="17"/>
        </w:rPr>
        <w:t xml:space="preserve">3. System &amp; Automation Plan — </w:t>
      </w:r>
      <w:r>
        <w:rPr>
          <w:color w:val="1A1A1A"/>
          <w:sz w:val="17"/>
          <w:szCs w:val="17"/>
        </w:rPr>
        <w:t xml:space="preserve">A tailored 90-day roadmap of SOPs, automation triggers, and delegation protocols aligned to your contract mix.</w:t>
      </w:r>
    </w:p>
    <w:p>
      <w:pPr>
        <w:pStyle w:val="ListParagraph"/>
        <w:numPr>
          <w:ilvl w:val="0"/>
          <w:numId w:val="2"/>
        </w:numPr>
        <w:spacing w:after="20" w:line="240"/>
      </w:pPr>
      <w:r>
        <w:rPr>
          <w:b/>
          <w:bCs/>
          <w:color w:val="1A1A1A"/>
          <w:sz w:val="17"/>
          <w:szCs w:val="17"/>
        </w:rPr>
        <w:t xml:space="preserve">4. Implementation Support — </w:t>
      </w:r>
      <w:r>
        <w:rPr>
          <w:color w:val="1A1A1A"/>
          <w:sz w:val="17"/>
          <w:szCs w:val="17"/>
        </w:rPr>
        <w:t xml:space="preserve">Hands-on work alongside the client to build and refine each system, with results visible within 30 days.</w:t>
      </w:r>
    </w:p>
    <w:p>
      <w:pPr>
        <w:pStyle w:val="ListParagraph"/>
        <w:numPr>
          <w:ilvl w:val="0"/>
          <w:numId w:val="2"/>
        </w:numPr>
        <w:spacing w:after="20" w:line="240"/>
      </w:pPr>
      <w:r>
        <w:rPr>
          <w:b/>
          <w:bCs/>
          <w:color w:val="1A1A1A"/>
          <w:sz w:val="17"/>
          <w:szCs w:val="17"/>
        </w:rPr>
        <w:t xml:space="preserve">5. Ongoing Optimization — </w:t>
      </w:r>
      <w:r>
        <w:rPr>
          <w:color w:val="1A1A1A"/>
          <w:sz w:val="17"/>
          <w:szCs w:val="17"/>
        </w:rPr>
        <w:t xml:space="preserve">Recurring check-ins to track efficiency gains, address new bottlenecks, and evolve the system as your contract portfolio grows.</w:t>
      </w:r>
    </w:p>
    <w:p>
      <w:pPr>
        <w:pStyle w:val="Heading2"/>
        <w:pBdr>
          <w:bottom w:val="single" w:color="D9A521" w:sz="6" w:space="4"/>
        </w:pBdr>
        <w:spacing w:after="40" w:before="100"/>
      </w:pPr>
      <w:r>
        <w:rPr>
          <w:b/>
          <w:bCs/>
          <w:color w:val="B8860B"/>
        </w:rPr>
        <w:t xml:space="preserve">Differentiators</w:t>
      </w:r>
    </w:p>
    <w:p>
      <w:pPr>
        <w:pStyle w:val="ListParagraph"/>
        <w:numPr>
          <w:ilvl w:val="0"/>
          <w:numId w:val="2"/>
        </w:numPr>
        <w:spacing w:after="20" w:line="240"/>
      </w:pPr>
      <w:r>
        <w:rPr>
          <w:color w:val="1A1A1A"/>
          <w:sz w:val="17"/>
          <w:szCs w:val="17"/>
        </w:rPr>
        <w:t xml:space="preserve">Located in Huntsville’s Redstone Arsenal defense community</w:t>
      </w:r>
    </w:p>
    <w:p>
      <w:pPr>
        <w:pStyle w:val="ListParagraph"/>
        <w:numPr>
          <w:ilvl w:val="0"/>
          <w:numId w:val="2"/>
        </w:numPr>
        <w:spacing w:after="20" w:line="240"/>
      </w:pPr>
      <w:r>
        <w:rPr>
          <w:color w:val="1A1A1A"/>
          <w:sz w:val="17"/>
          <w:szCs w:val="17"/>
        </w:rPr>
        <w:t xml:space="preserve">Every project is led by an experienced consultant—not junior staff</w:t>
      </w:r>
    </w:p>
    <w:p>
      <w:pPr>
        <w:pStyle w:val="ListParagraph"/>
        <w:numPr>
          <w:ilvl w:val="0"/>
          <w:numId w:val="2"/>
        </w:numPr>
        <w:spacing w:after="20" w:line="240"/>
      </w:pPr>
      <w:r>
        <w:rPr>
          <w:color w:val="1A1A1A"/>
          <w:sz w:val="17"/>
          <w:szCs w:val="17"/>
        </w:rPr>
        <w:t xml:space="preserve">Processes are designed with government compliance in mind</w:t>
      </w:r>
    </w:p>
    <w:p>
      <w:pPr>
        <w:pStyle w:val="ListParagraph"/>
        <w:numPr>
          <w:ilvl w:val="0"/>
          <w:numId w:val="2"/>
        </w:numPr>
        <w:spacing w:after="20" w:line="240"/>
      </w:pPr>
      <w:r>
        <w:rPr>
          <w:color w:val="1A1A1A"/>
          <w:sz w:val="17"/>
          <w:szCs w:val="17"/>
        </w:rPr>
        <w:t xml:space="preserve">Every engagement includes a written assessment and improvement plan</w:t>
      </w:r>
    </w:p>
    <w:p>
      <w:pPr>
        <w:pStyle w:val="ListParagraph"/>
        <w:numPr>
          <w:ilvl w:val="0"/>
          <w:numId w:val="2"/>
        </w:numPr>
        <w:spacing w:after="20" w:line="240"/>
      </w:pPr>
      <w:r>
        <w:rPr>
          <w:color w:val="1A1A1A"/>
          <w:sz w:val="17"/>
          <w:szCs w:val="17"/>
        </w:rPr>
        <w:t xml:space="preserve">We help implement the changes instead of just making recommendations</w:t>
      </w:r>
    </w:p>
    <w:p>
      <w:pPr>
        <w:pStyle w:val="Heading2"/>
        <w:pBdr>
          <w:bottom w:val="single" w:color="D9A521" w:sz="6" w:space="4"/>
        </w:pBdr>
        <w:spacing w:after="40" w:before="100"/>
      </w:pPr>
      <w:r>
        <w:rPr>
          <w:b/>
          <w:bCs/>
          <w:color w:val="B8860B"/>
        </w:rPr>
        <w:t xml:space="preserve">Company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0E0E0" w:sz="4"/>
              <w:left w:val="single" w:color="E0E0E0" w:sz="4"/>
              <w:bottom w:val="single" w:color="E0E0E0" w:sz="4"/>
              <w:right w:val="single" w:color="E0E0E0" w:sz="4"/>
            </w:tcBorders>
            <w:shd w:fill="F7F1E3" w:val="clear"/>
            <w:tcMar>
              <w:top w:type="dxa" w:w="40"/>
              <w:left w:type="dxa" w:w="120"/>
              <w:bottom w:type="dxa" w:w="40"/>
              <w:right w:type="dxa" w:w="120"/>
            </w:tcMar>
            <w:vAlign w:val="center"/>
          </w:tcPr>
          <w:p>
            <w:r>
              <w:rPr>
                <w:b/>
                <w:bCs/>
                <w:sz w:val="17"/>
                <w:szCs w:val="17"/>
              </w:rPr>
              <w:t xml:space="preserve">Website</w:t>
            </w:r>
          </w:p>
        </w:tc>
        <w:tc>
          <w:tcPr>
            <w:tcW w:type="dxa" w:w="7160"/>
            <w:tcBorders>
              <w:top w:val="single" w:color="E0E0E0" w:sz="4"/>
              <w:left w:val="single" w:color="E0E0E0" w:sz="4"/>
              <w:bottom w:val="single" w:color="E0E0E0" w:sz="4"/>
              <w:right w:val="single" w:color="E0E0E0" w:sz="4"/>
            </w:tcBorders>
            <w:tcMar>
              <w:top w:type="dxa" w:w="40"/>
              <w:left w:type="dxa" w:w="120"/>
              <w:bottom w:type="dxa" w:w="40"/>
              <w:right w:type="dxa" w:w="120"/>
            </w:tcMar>
            <w:vAlign w:val="center"/>
          </w:tcPr>
          <w:p>
            <w:r>
              <w:rPr>
                <w:sz w:val="17"/>
                <w:szCs w:val="17"/>
              </w:rPr>
              <w:t xml:space="preserve">www.vonbraun.guru</w:t>
            </w:r>
          </w:p>
        </w:tc>
      </w:tr>
      <w:tr>
        <w:tc>
          <w:tcPr>
            <w:tcW w:type="dxa" w:w="2200"/>
            <w:tcBorders>
              <w:top w:val="single" w:color="E0E0E0" w:sz="4"/>
              <w:left w:val="single" w:color="E0E0E0" w:sz="4"/>
              <w:bottom w:val="single" w:color="E0E0E0" w:sz="4"/>
              <w:right w:val="single" w:color="E0E0E0" w:sz="4"/>
            </w:tcBorders>
            <w:shd w:fill="F7F1E3" w:val="clear"/>
            <w:tcMar>
              <w:top w:type="dxa" w:w="40"/>
              <w:left w:type="dxa" w:w="120"/>
              <w:bottom w:type="dxa" w:w="40"/>
              <w:right w:type="dxa" w:w="120"/>
            </w:tcMar>
            <w:vAlign w:val="center"/>
          </w:tcPr>
          <w:p>
            <w:r>
              <w:rPr>
                <w:b/>
                <w:bCs/>
                <w:sz w:val="17"/>
                <w:szCs w:val="17"/>
              </w:rPr>
              <w:t xml:space="preserve">Email</w:t>
            </w:r>
          </w:p>
        </w:tc>
        <w:tc>
          <w:tcPr>
            <w:tcW w:type="dxa" w:w="7160"/>
            <w:tcBorders>
              <w:top w:val="single" w:color="E0E0E0" w:sz="4"/>
              <w:left w:val="single" w:color="E0E0E0" w:sz="4"/>
              <w:bottom w:val="single" w:color="E0E0E0" w:sz="4"/>
              <w:right w:val="single" w:color="E0E0E0" w:sz="4"/>
            </w:tcBorders>
            <w:tcMar>
              <w:top w:type="dxa" w:w="40"/>
              <w:left w:type="dxa" w:w="120"/>
              <w:bottom w:type="dxa" w:w="40"/>
              <w:right w:type="dxa" w:w="120"/>
            </w:tcMar>
            <w:vAlign w:val="center"/>
          </w:tcPr>
          <w:p>
            <w:r>
              <w:rPr>
                <w:sz w:val="17"/>
                <w:szCs w:val="17"/>
              </w:rPr>
              <w:t xml:space="preserve">hello@vonbraun.guru</w:t>
            </w:r>
          </w:p>
        </w:tc>
      </w:tr>
      <w:tr>
        <w:tc>
          <w:tcPr>
            <w:tcW w:type="dxa" w:w="2200"/>
            <w:tcBorders>
              <w:top w:val="single" w:color="E0E0E0" w:sz="4"/>
              <w:left w:val="single" w:color="E0E0E0" w:sz="4"/>
              <w:bottom w:val="single" w:color="E0E0E0" w:sz="4"/>
              <w:right w:val="single" w:color="E0E0E0" w:sz="4"/>
            </w:tcBorders>
            <w:shd w:fill="F7F1E3" w:val="clear"/>
            <w:tcMar>
              <w:top w:type="dxa" w:w="40"/>
              <w:left w:type="dxa" w:w="120"/>
              <w:bottom w:type="dxa" w:w="40"/>
              <w:right w:type="dxa" w:w="120"/>
            </w:tcMar>
            <w:vAlign w:val="center"/>
          </w:tcPr>
          <w:p>
            <w:r>
              <w:rPr>
                <w:b/>
                <w:bCs/>
                <w:sz w:val="17"/>
                <w:szCs w:val="17"/>
              </w:rPr>
              <w:t xml:space="preserve">Phone</w:t>
            </w:r>
          </w:p>
        </w:tc>
        <w:tc>
          <w:tcPr>
            <w:tcW w:type="dxa" w:w="7160"/>
            <w:tcBorders>
              <w:top w:val="single" w:color="E0E0E0" w:sz="4"/>
              <w:left w:val="single" w:color="E0E0E0" w:sz="4"/>
              <w:bottom w:val="single" w:color="E0E0E0" w:sz="4"/>
              <w:right w:val="single" w:color="E0E0E0" w:sz="4"/>
            </w:tcBorders>
            <w:tcMar>
              <w:top w:type="dxa" w:w="40"/>
              <w:left w:type="dxa" w:w="120"/>
              <w:bottom w:type="dxa" w:w="40"/>
              <w:right w:type="dxa" w:w="120"/>
            </w:tcMar>
            <w:vAlign w:val="center"/>
          </w:tcPr>
          <w:p>
            <w:r>
              <w:rPr>
                <w:sz w:val="17"/>
                <w:szCs w:val="17"/>
              </w:rPr>
              <w:t xml:space="preserve">Huntsville 256.675.4966  |  Atlanta 470.795.1411</w:t>
            </w:r>
          </w:p>
        </w:tc>
      </w:tr>
      <w:tr>
        <w:tc>
          <w:tcPr>
            <w:tcW w:type="dxa" w:w="2200"/>
            <w:tcBorders>
              <w:top w:val="single" w:color="E0E0E0" w:sz="4"/>
              <w:left w:val="single" w:color="E0E0E0" w:sz="4"/>
              <w:bottom w:val="single" w:color="E0E0E0" w:sz="4"/>
              <w:right w:val="single" w:color="E0E0E0" w:sz="4"/>
            </w:tcBorders>
            <w:shd w:fill="F7F1E3" w:val="clear"/>
            <w:tcMar>
              <w:top w:type="dxa" w:w="40"/>
              <w:left w:type="dxa" w:w="120"/>
              <w:bottom w:type="dxa" w:w="40"/>
              <w:right w:type="dxa" w:w="120"/>
            </w:tcMar>
            <w:vAlign w:val="center"/>
          </w:tcPr>
          <w:p>
            <w:r>
              <w:rPr>
                <w:b/>
                <w:bCs/>
                <w:sz w:val="17"/>
                <w:szCs w:val="17"/>
              </w:rPr>
              <w:t xml:space="preserve">Primary Market</w:t>
            </w:r>
          </w:p>
        </w:tc>
        <w:tc>
          <w:tcPr>
            <w:tcW w:type="dxa" w:w="7160"/>
            <w:tcBorders>
              <w:top w:val="single" w:color="E0E0E0" w:sz="4"/>
              <w:left w:val="single" w:color="E0E0E0" w:sz="4"/>
              <w:bottom w:val="single" w:color="E0E0E0" w:sz="4"/>
              <w:right w:val="single" w:color="E0E0E0" w:sz="4"/>
            </w:tcBorders>
            <w:tcMar>
              <w:top w:type="dxa" w:w="40"/>
              <w:left w:type="dxa" w:w="120"/>
              <w:bottom w:type="dxa" w:w="40"/>
              <w:right w:type="dxa" w:w="120"/>
            </w:tcMar>
            <w:vAlign w:val="center"/>
          </w:tcPr>
          <w:p>
            <w:r>
              <w:rPr>
                <w:sz w:val="17"/>
                <w:szCs w:val="17"/>
              </w:rPr>
              <w:t xml:space="preserve">Defense &amp; aerospace contractors and suppliers</w:t>
            </w:r>
          </w:p>
        </w:tc>
      </w:tr>
      <w:tr>
        <w:tc>
          <w:tcPr>
            <w:tcW w:type="dxa" w:w="2200"/>
            <w:tcBorders>
              <w:top w:val="single" w:color="E0E0E0" w:sz="4"/>
              <w:left w:val="single" w:color="E0E0E0" w:sz="4"/>
              <w:bottom w:val="single" w:color="E0E0E0" w:sz="4"/>
              <w:right w:val="single" w:color="E0E0E0" w:sz="4"/>
            </w:tcBorders>
            <w:shd w:fill="F7F1E3" w:val="clear"/>
            <w:tcMar>
              <w:top w:type="dxa" w:w="40"/>
              <w:left w:type="dxa" w:w="120"/>
              <w:bottom w:type="dxa" w:w="40"/>
              <w:right w:type="dxa" w:w="120"/>
            </w:tcMar>
            <w:vAlign w:val="center"/>
          </w:tcPr>
          <w:p>
            <w:r>
              <w:rPr>
                <w:b/>
                <w:bCs/>
                <w:sz w:val="17"/>
                <w:szCs w:val="17"/>
              </w:rPr>
              <w:t xml:space="preserve">Service Area</w:t>
            </w:r>
          </w:p>
        </w:tc>
        <w:tc>
          <w:tcPr>
            <w:tcW w:type="dxa" w:w="7160"/>
            <w:tcBorders>
              <w:top w:val="single" w:color="E0E0E0" w:sz="4"/>
              <w:left w:val="single" w:color="E0E0E0" w:sz="4"/>
              <w:bottom w:val="single" w:color="E0E0E0" w:sz="4"/>
              <w:right w:val="single" w:color="E0E0E0" w:sz="4"/>
            </w:tcBorders>
            <w:tcMar>
              <w:top w:type="dxa" w:w="40"/>
              <w:left w:type="dxa" w:w="120"/>
              <w:bottom w:type="dxa" w:w="40"/>
              <w:right w:type="dxa" w:w="120"/>
            </w:tcMar>
            <w:vAlign w:val="center"/>
          </w:tcPr>
          <w:p>
            <w:r>
              <w:rPr>
                <w:sz w:val="17"/>
                <w:szCs w:val="17"/>
              </w:rPr>
              <w:t xml:space="preserve">Redstone Arsenal / Huntsville defense corridor and Atlanta metro</w:t>
            </w:r>
          </w:p>
        </w:tc>
      </w:tr>
      <w:tr>
        <w:tc>
          <w:tcPr>
            <w:tcW w:type="dxa" w:w="2200"/>
            <w:tcBorders>
              <w:top w:val="single" w:color="E0E0E0" w:sz="4"/>
              <w:left w:val="single" w:color="E0E0E0" w:sz="4"/>
              <w:bottom w:val="single" w:color="E0E0E0" w:sz="4"/>
              <w:right w:val="single" w:color="E0E0E0" w:sz="4"/>
            </w:tcBorders>
            <w:shd w:fill="F7F1E3" w:val="clear"/>
            <w:tcMar>
              <w:top w:type="dxa" w:w="40"/>
              <w:left w:type="dxa" w:w="120"/>
              <w:bottom w:type="dxa" w:w="40"/>
              <w:right w:type="dxa" w:w="120"/>
            </w:tcMar>
            <w:vAlign w:val="center"/>
          </w:tcPr>
          <w:p>
            <w:r>
              <w:rPr>
                <w:b/>
                <w:bCs/>
                <w:sz w:val="17"/>
                <w:szCs w:val="17"/>
              </w:rPr>
              <w:t xml:space="preserve">NAICS Codes</w:t>
            </w:r>
          </w:p>
        </w:tc>
        <w:tc>
          <w:tcPr>
            <w:tcW w:type="dxa" w:w="7160"/>
            <w:tcBorders>
              <w:top w:val="single" w:color="E0E0E0" w:sz="4"/>
              <w:left w:val="single" w:color="E0E0E0" w:sz="4"/>
              <w:bottom w:val="single" w:color="E0E0E0" w:sz="4"/>
              <w:right w:val="single" w:color="E0E0E0" w:sz="4"/>
            </w:tcBorders>
            <w:tcMar>
              <w:top w:type="dxa" w:w="40"/>
              <w:left w:type="dxa" w:w="120"/>
              <w:bottom w:type="dxa" w:w="40"/>
              <w:right w:type="dxa" w:w="120"/>
            </w:tcMar>
            <w:vAlign w:val="center"/>
          </w:tcPr>
          <w:p>
            <w:r>
              <w:rPr>
                <w:sz w:val="17"/>
                <w:szCs w:val="17"/>
              </w:rPr>
              <w:t xml:space="preserve">541611, 541618</w:t>
            </w:r>
          </w:p>
        </w:tc>
      </w:tr>
    </w:tbl>
    <w:p>
      <w:pPr>
        <w:spacing w:before="100"/>
      </w:pPr>
      <w:hyperlink w:history="1" r:id="rId5wci5lnqqcsunw4vp-qov">
        <w:r>
          <w:rPr>
            <w:rStyle w:val="Hyperlink"/>
            <w:sz w:val="18"/>
            <w:szCs w:val="18"/>
          </w:rPr>
          <w:t xml:space="preserve">Schedule a free discovery call at vonbraun.guru</w:t>
        </w:r>
      </w:hyperlink>
    </w:p>
    <w:sectPr>
      <w:headerReference w:type="default" r:id="rId7"/>
      <w:footerReference w:type="default" r:id="rId8"/>
      <w:pgSz w:w="12240" w:h="15840" w:orient="portrait"/>
      <w:pgMar w:top="360" w:right="900" w:bottom="36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0E0" w:sz="6" w:space="6"/>
      </w:pBdr>
      <w:jc w:val="center"/>
    </w:pPr>
    <w:r>
      <w:rPr>
        <w:color w:val="5A5A5A"/>
        <w:sz w:val="15"/>
        <w:szCs w:val="15"/>
      </w:rPr>
      <w:t xml:space="preserve">Von Braun Consulting  |  www.vonbraun.guru  |  hello@vonbraun.guru  |  256.675.4966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A521" w:sz="10" w:space="4"/>
      </w:pBdr>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40" w:before="0"/>
      <w:outlineLvl w:val="0"/>
    </w:pPr>
    <w:rPr>
      <w:rFonts w:ascii="Arial" w:cs="Arial" w:eastAsia="Arial" w:hAnsi="Arial"/>
      <w:b/>
      <w:bCs/>
      <w:color w:val="1A1A1A"/>
      <w:sz w:val="40"/>
      <w:szCs w:val="40"/>
    </w:rPr>
  </w:style>
  <w:style w:type="paragraph" w:styleId="Heading2">
    <w:name w:val="Heading 2"/>
    <w:basedOn w:val="Normal"/>
    <w:next w:val="Normal"/>
    <w:qFormat/>
    <w:pPr>
      <w:spacing w:after="60" w:before="160"/>
      <w:outlineLvl w:val="1"/>
    </w:pPr>
    <w:rPr>
      <w:rFonts w:ascii="Arial" w:cs="Arial" w:eastAsia="Arial" w:hAnsi="Arial"/>
      <w:b/>
      <w:bCs/>
      <w:color w:val="B8860B"/>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5wci5lnqqcsunw4vp-qov" Type="http://schemas.openxmlformats.org/officeDocument/2006/relationships/hyperlink" Target="https://www.vonbraun.guru/contact"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2026-07-04T02:20:38.980Z</dcterms:created>
  <dcterms:modified xsi:type="dcterms:W3CDTF">2026-07-04T02:20:38.980Z</dcterms:modified>
</cp:coreProperties>
</file>

<file path=docProps/custom.xml><?xml version="1.0" encoding="utf-8"?>
<Properties xmlns="http://schemas.openxmlformats.org/officeDocument/2006/custom-properties" xmlns:vt="http://schemas.openxmlformats.org/officeDocument/2006/docPropsVTypes"/>
</file>